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rPr>
          <w:b/>
          <w:bCs/>
          <w:color w:val="1E2761"/>
          <w:sz w:val="56"/>
          <w:szCs w:val="56"/>
        </w:rPr>
        <w:t xml:space="preserve">Employer Guide</w:t>
      </w:r>
    </w:p>
    <w:p>
      <w:pPr>
        <w:spacing w:after="80"/>
        <w:jc w:val="center"/>
      </w:pPr>
      <w:r>
        <w:rPr>
          <w:i/>
          <w:iCs/>
          <w:color w:val="C9A227"/>
          <w:sz w:val="28"/>
          <w:szCs w:val="28"/>
        </w:rPr>
        <w:t xml:space="preserve">Understanding Neurodiversity™</w:t>
      </w:r>
    </w:p>
    <w:p>
      <w:pPr>
        <w:spacing w:after="80"/>
        <w:jc w:val="center"/>
      </w:pPr>
      <w:r>
        <w:rPr>
          <w:i/>
          <w:iCs/>
          <w:sz w:val="22"/>
          <w:szCs w:val="22"/>
        </w:rPr>
        <w:t xml:space="preserve">Research. Education. AI Guidance. Belonging.</w:t>
      </w:r>
    </w:p>
    <w:p>
      <w:pPr>
        <w:spacing w:after="600"/>
        <w:jc w:val="center"/>
      </w:pPr>
      <w:r>
        <w:rPr>
          <w:sz w:val="22"/>
          <w:szCs w:val="22"/>
        </w:rPr>
        <w:t xml:space="preserve">Managers, HR, and DEI leaders</w:t>
      </w:r>
    </w:p>
    <w:p>
      <w:pPr>
        <w:spacing w:after="240"/>
        <w:jc w:val="center"/>
      </w:pPr>
      <w:r>
        <w:rPr>
          <w:b/>
          <w:bCs/>
          <w:color w:val="C9A227"/>
          <w:sz w:val="20"/>
          <w:szCs w:val="20"/>
        </w:rPr>
        <w:t xml:space="preserve">Draft v1 · for review</w:t>
      </w:r>
    </w:p>
    <w:p>
      <w:r>
        <w:br w:type="page"/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Hiring</w:t>
      </w:r>
    </w:p>
    <w:p>
      <w:pPr>
        <w:pStyle w:val="ListParagraph"/>
        <w:numPr>
          <w:ilvl w:val="0"/>
          <w:numId w:val="2"/>
        </w:numPr>
      </w:pPr>
      <w:r>
        <w:t xml:space="preserve">Replace 'culture fit' with role-relevant cognitive demands.</w:t>
      </w:r>
    </w:p>
    <w:p>
      <w:pPr>
        <w:pStyle w:val="ListParagraph"/>
        <w:numPr>
          <w:ilvl w:val="0"/>
          <w:numId w:val="2"/>
        </w:numPr>
      </w:pPr>
      <w:r>
        <w:t xml:space="preserve">Share interview questions in advance; allow written responses.</w:t>
      </w:r>
    </w:p>
    <w:p>
      <w:pPr>
        <w:pStyle w:val="ListParagraph"/>
        <w:numPr>
          <w:ilvl w:val="0"/>
          <w:numId w:val="2"/>
        </w:numPr>
      </w:pPr>
      <w:r>
        <w:t xml:space="preserve">Offer structured trial tasks rather than panel performance.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Onboarding</w:t>
      </w:r>
    </w:p>
    <w:p>
      <w:pPr>
        <w:pStyle w:val="ListParagraph"/>
        <w:numPr>
          <w:ilvl w:val="0"/>
          <w:numId w:val="2"/>
        </w:numPr>
      </w:pPr>
      <w:r>
        <w:t xml:space="preserve">Document the unwritten rules: meetings, decision-making, communication norms.</w:t>
      </w:r>
    </w:p>
    <w:p>
      <w:pPr>
        <w:pStyle w:val="ListParagraph"/>
        <w:numPr>
          <w:ilvl w:val="0"/>
          <w:numId w:val="2"/>
        </w:numPr>
      </w:pPr>
      <w:r>
        <w:t xml:space="preserve">Pair every new hire with a 'translator' for the first 60 days.</w:t>
      </w:r>
    </w:p>
    <w:p>
      <w:pPr>
        <w:pStyle w:val="ListParagraph"/>
        <w:numPr>
          <w:ilvl w:val="0"/>
          <w:numId w:val="2"/>
        </w:numPr>
      </w:pPr>
      <w:r>
        <w:t xml:space="preserve">Schedule a 30-day accommodation conversation as default — not exception.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Accommodations</w:t>
      </w:r>
    </w:p>
    <w:p>
      <w:pPr>
        <w:pStyle w:val="ListParagraph"/>
        <w:numPr>
          <w:ilvl w:val="0"/>
          <w:numId w:val="2"/>
        </w:numPr>
      </w:pPr>
      <w:r>
        <w:t xml:space="preserve">Default to 'yes, here's how' rather than 'prove you need it.'</w:t>
      </w:r>
    </w:p>
    <w:p>
      <w:pPr>
        <w:pStyle w:val="ListParagraph"/>
        <w:numPr>
          <w:ilvl w:val="0"/>
          <w:numId w:val="2"/>
        </w:numPr>
      </w:pPr>
      <w:r>
        <w:t xml:space="preserve">Maintain a low-friction request channel with documented SLAs.</w:t>
      </w:r>
    </w:p>
    <w:p>
      <w:pPr>
        <w:pStyle w:val="ListParagraph"/>
        <w:numPr>
          <w:ilvl w:val="0"/>
          <w:numId w:val="2"/>
        </w:numPr>
      </w:pPr>
      <w:r>
        <w:t xml:space="preserve">Track requests in aggregate to identify systemic friction.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Day-to-day leadership</w:t>
      </w:r>
    </w:p>
    <w:p>
      <w:pPr>
        <w:pStyle w:val="ListParagraph"/>
        <w:numPr>
          <w:ilvl w:val="0"/>
          <w:numId w:val="2"/>
        </w:numPr>
      </w:pPr>
      <w:r>
        <w:t xml:space="preserve">Agendas in advance; decisions in writing.</w:t>
      </w:r>
    </w:p>
    <w:p>
      <w:pPr>
        <w:pStyle w:val="ListParagraph"/>
        <w:numPr>
          <w:ilvl w:val="0"/>
          <w:numId w:val="2"/>
        </w:numPr>
      </w:pPr>
      <w:r>
        <w:t xml:space="preserve">Async-first when possible; meetings are for connection, not status.</w:t>
      </w:r>
    </w:p>
    <w:p>
      <w:pPr>
        <w:pStyle w:val="ListParagraph"/>
        <w:numPr>
          <w:ilvl w:val="0"/>
          <w:numId w:val="2"/>
        </w:numPr>
      </w:pPr>
      <w:r>
        <w:t xml:space="preserve">Feedback is specific, behavioral, and frequent.</w:t>
      </w:r>
    </w:p>
    <w:p>
      <w:pPr>
        <w:pStyle w:val="Heading1"/>
        <w:spacing w:after="160" w:before="240"/>
      </w:pPr>
      <w:r>
        <w:rPr>
          <w:b/>
          <w:bCs/>
          <w:color w:val="1E2761"/>
          <w:sz w:val="32"/>
          <w:szCs w:val="32"/>
        </w:rPr>
        <w:t xml:space="preserve">Measurement</w:t>
      </w:r>
    </w:p>
    <w:p>
      <w:pPr>
        <w:pStyle w:val="ListParagraph"/>
        <w:numPr>
          <w:ilvl w:val="0"/>
          <w:numId w:val="2"/>
        </w:numPr>
      </w:pPr>
      <w:r>
        <w:t xml:space="preserve">Belonging score by team and tenure.</w:t>
      </w:r>
    </w:p>
    <w:p>
      <w:pPr>
        <w:pStyle w:val="ListParagraph"/>
        <w:numPr>
          <w:ilvl w:val="0"/>
          <w:numId w:val="2"/>
        </w:numPr>
      </w:pPr>
      <w:r>
        <w:t xml:space="preserve">Retention by profile (where self-identification is offered).</w:t>
      </w:r>
    </w:p>
    <w:p>
      <w:pPr>
        <w:pStyle w:val="ListParagraph"/>
        <w:numPr>
          <w:ilvl w:val="0"/>
          <w:numId w:val="2"/>
        </w:numPr>
      </w:pPr>
      <w:r>
        <w:t xml:space="preserve">Accommodation request volume, response time, and outcome.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employer-guide-v1.docx</dc:title>
  <dc:creator>Kimberly J. Lewis</dc:creator>
  <cp:lastModifiedBy>Un-named</cp:lastModifiedBy>
  <cp:revision>1</cp:revision>
  <dcterms:created xsi:type="dcterms:W3CDTF">2026-06-26T09:18:32.568Z</dcterms:created>
  <dcterms:modified xsi:type="dcterms:W3CDTF">2026-06-26T09:18:32.568Z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