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Executive Briefing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30-minute leadership overview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Why this matters now</w:t>
      </w:r>
    </w:p>
    <w:p>
      <w:pPr>
        <w:pStyle w:val="ListParagraph"/>
        <w:numPr>
          <w:ilvl w:val="0"/>
          <w:numId w:val="2"/>
        </w:numPr>
      </w:pPr>
      <w:r>
        <w:t xml:space="preserve">15–20% of the workforce is neurodivergent — most undisclosed.</w:t>
      </w:r>
    </w:p>
    <w:p>
      <w:pPr>
        <w:pStyle w:val="ListParagraph"/>
        <w:numPr>
          <w:ilvl w:val="0"/>
          <w:numId w:val="2"/>
        </w:numPr>
      </w:pPr>
      <w:r>
        <w:t xml:space="preserve">Cognitive diversity is correlated with innovation, retention, and engagement.</w:t>
      </w:r>
    </w:p>
    <w:p>
      <w:pPr>
        <w:pStyle w:val="ListParagraph"/>
        <w:numPr>
          <w:ilvl w:val="0"/>
          <w:numId w:val="2"/>
        </w:numPr>
      </w:pPr>
      <w:r>
        <w:t xml:space="preserve">Brain-economy spend across healthcare, education, and lost productivity is rising.</w:t>
      </w:r>
    </w:p>
    <w:p>
      <w:pPr>
        <w:pStyle w:val="ListParagraph"/>
        <w:numPr>
          <w:ilvl w:val="0"/>
          <w:numId w:val="2"/>
        </w:numPr>
      </w:pPr>
      <w:r>
        <w:t xml:space="preserve">Inclusion lives in everyday systems — not in posters.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What good looks like</w:t>
      </w:r>
    </w:p>
    <w:p>
      <w:pPr>
        <w:pStyle w:val="ListParagraph"/>
        <w:numPr>
          <w:ilvl w:val="0"/>
          <w:numId w:val="3"/>
        </w:numPr>
      </w:pPr>
      <w:r>
        <w:t xml:space="preserve">Strengths-first language across leadership communications.</w:t>
      </w:r>
    </w:p>
    <w:p>
      <w:pPr>
        <w:pStyle w:val="ListParagraph"/>
        <w:numPr>
          <w:ilvl w:val="0"/>
          <w:numId w:val="3"/>
        </w:numPr>
      </w:pPr>
      <w:r>
        <w:t xml:space="preserve">Plain accommodation pathways with documented response times.</w:t>
      </w:r>
    </w:p>
    <w:p>
      <w:pPr>
        <w:pStyle w:val="ListParagraph"/>
        <w:numPr>
          <w:ilvl w:val="0"/>
          <w:numId w:val="3"/>
        </w:numPr>
      </w:pPr>
      <w:r>
        <w:t xml:space="preserve">Hiring loops reviewed for cognitive bias.</w:t>
      </w:r>
    </w:p>
    <w:p>
      <w:pPr>
        <w:pStyle w:val="ListParagraph"/>
        <w:numPr>
          <w:ilvl w:val="0"/>
          <w:numId w:val="3"/>
        </w:numPr>
      </w:pPr>
      <w:r>
        <w:t xml:space="preserve">Manager training on neurodiverse leadership — not just compliance.</w:t>
      </w:r>
    </w:p>
    <w:p>
      <w:pPr>
        <w:pStyle w:val="ListParagraph"/>
        <w:numPr>
          <w:ilvl w:val="0"/>
          <w:numId w:val="3"/>
        </w:numPr>
      </w:pPr>
      <w:r>
        <w:t xml:space="preserve">Belonging metrics tracked alongside engagement and retention.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Recommended rollout (90 days)</w:t>
      </w:r>
    </w:p>
    <w:p>
      <w:pPr>
        <w:pStyle w:val="ListParagraph"/>
        <w:numPr>
          <w:ilvl w:val="0"/>
          <w:numId w:val="2"/>
        </w:numPr>
      </w:pPr>
      <w:r>
        <w:t xml:space="preserve">Days 1–30 · Executive briefing + Foundations course for leaders.</w:t>
      </w:r>
    </w:p>
    <w:p>
      <w:pPr>
        <w:pStyle w:val="ListParagraph"/>
        <w:numPr>
          <w:ilvl w:val="0"/>
          <w:numId w:val="2"/>
        </w:numPr>
      </w:pPr>
      <w:r>
        <w:t xml:space="preserve">Days 31–60 · Manager + HR training (Workplace course) and accommodation playbook.</w:t>
      </w:r>
    </w:p>
    <w:p>
      <w:pPr>
        <w:pStyle w:val="ListParagraph"/>
        <w:numPr>
          <w:ilvl w:val="0"/>
          <w:numId w:val="2"/>
        </w:numPr>
      </w:pPr>
      <w:r>
        <w:t xml:space="preserve">Days 61–90 · All-employee Foundations + measurement baseline.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Talking points for the C-suite</w:t>
      </w:r>
    </w:p>
    <w:p>
      <w:pPr>
        <w:pStyle w:val="ListParagraph"/>
        <w:numPr>
          <w:ilvl w:val="0"/>
          <w:numId w:val="2"/>
        </w:numPr>
      </w:pPr>
      <w:r>
        <w:t xml:space="preserve">This is workforce strategy, not a side initiative.</w:t>
      </w:r>
    </w:p>
    <w:p>
      <w:pPr>
        <w:pStyle w:val="ListParagraph"/>
        <w:numPr>
          <w:ilvl w:val="0"/>
          <w:numId w:val="2"/>
        </w:numPr>
      </w:pPr>
      <w:r>
        <w:t xml:space="preserve">Belonging beats accommodation as the operating standard.</w:t>
      </w:r>
    </w:p>
    <w:p>
      <w:pPr>
        <w:pStyle w:val="ListParagraph"/>
        <w:numPr>
          <w:ilvl w:val="0"/>
          <w:numId w:val="2"/>
        </w:numPr>
      </w:pPr>
      <w:r>
        <w:t xml:space="preserve">Lived experience is required; AI guidance accelerates scale.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executive-briefing-v1.docx</dc:title>
  <dc:creator>Kimberly J. Lewis</dc:creator>
  <cp:lastModifiedBy>Un-named</cp:lastModifiedBy>
  <cp:revision>1</cp:revision>
  <dcterms:created xsi:type="dcterms:W3CDTF">2026-06-26T09:18:32.557Z</dcterms:created>
  <dcterms:modified xsi:type="dcterms:W3CDTF">2026-06-26T09:18:32.557Z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